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EAE" w:rsidRPr="00321106" w:rsidRDefault="00A25E8E" w:rsidP="00CA68EA">
      <w:pPr>
        <w:rPr>
          <w:b/>
        </w:rPr>
      </w:pPr>
      <w:bookmarkStart w:id="0" w:name="_GoBack"/>
      <w:bookmarkEnd w:id="0"/>
      <w:r>
        <w:rPr>
          <w:b/>
        </w:rPr>
        <w:t>FOCUS OF WORK</w:t>
      </w:r>
    </w:p>
    <w:p w:rsidR="00CA68EA" w:rsidRPr="00CA68EA" w:rsidRDefault="00881082" w:rsidP="00CA68EA">
      <w:r>
        <w:rPr>
          <w:noProof/>
          <w:lang w:eastAsia="zh-TW"/>
        </w:rPr>
        <w:pict>
          <v:shapetype id="_x0000_t202" coordsize="21600,21600" o:spt="202" path="m,l,21600r21600,l21600,xe">
            <v:stroke joinstyle="miter"/>
            <v:path gradientshapeok="t" o:connecttype="rect"/>
          </v:shapetype>
          <v:shape id="_x0000_s1033" type="#_x0000_t202" style="position:absolute;margin-left:172.45pt;margin-top:-1.85pt;width:107.25pt;height:19.1pt;z-index:251667456;mso-width-relative:margin;mso-height-relative:margin" filled="f" stroked="f" strokecolor="white [3212]">
            <v:textbox style="mso-next-textbox:#_x0000_s1033">
              <w:txbxContent>
                <w:p w:rsidR="00A30DA7" w:rsidRPr="005502EC" w:rsidRDefault="00697C48">
                  <w:pPr>
                    <w:rPr>
                      <w:b/>
                    </w:rPr>
                  </w:pPr>
                  <w:r w:rsidRPr="005502EC">
                    <w:rPr>
                      <w:b/>
                    </w:rPr>
                    <w:t>Poverty</w:t>
                  </w:r>
                  <w:r w:rsidR="005502EC" w:rsidRPr="005502EC">
                    <w:rPr>
                      <w:b/>
                      <w:noProof/>
                    </w:rPr>
                    <w:t>/Economics</w:t>
                  </w:r>
                </w:p>
              </w:txbxContent>
            </v:textbox>
          </v:shape>
        </w:pict>
      </w:r>
      <w:r>
        <w:rPr>
          <w:noProof/>
        </w:rPr>
        <w:pict>
          <v:shape id="_x0000_s1039" type="#_x0000_t202" style="position:absolute;margin-left:353.25pt;margin-top:80.25pt;width:80.95pt;height:37pt;z-index:251671552;mso-width-relative:margin;mso-height-relative:margin" filled="f" stroked="f" strokecolor="white [3212]">
            <v:textbox style="mso-next-textbox:#_x0000_s1039">
              <w:txbxContent>
                <w:p w:rsidR="00350632" w:rsidRDefault="00350632" w:rsidP="00350632">
                  <w:pPr>
                    <w:jc w:val="center"/>
                  </w:pPr>
                  <w:r w:rsidRPr="005502EC">
                    <w:rPr>
                      <w:b/>
                    </w:rPr>
                    <w:t>Collective Impact Focus</w:t>
                  </w:r>
                  <w:r>
                    <w:rPr>
                      <w:noProof/>
                    </w:rPr>
                    <w:drawing>
                      <wp:inline distT="0" distB="0" distL="0" distR="0">
                        <wp:extent cx="704850" cy="257175"/>
                        <wp:effectExtent l="19050" t="0" r="0" b="0"/>
                        <wp:docPr id="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704850" cy="257175"/>
                                </a:xfrm>
                                <a:prstGeom prst="rect">
                                  <a:avLst/>
                                </a:prstGeom>
                                <a:noFill/>
                                <a:ln w="9525">
                                  <a:noFill/>
                                  <a:miter lim="800000"/>
                                  <a:headEnd/>
                                  <a:tailEnd/>
                                </a:ln>
                              </pic:spPr>
                            </pic:pic>
                          </a:graphicData>
                        </a:graphic>
                      </wp:inline>
                    </w:drawing>
                  </w:r>
                  <w:proofErr w:type="spellStart"/>
                  <w:r>
                    <w:t>lessness</w:t>
                  </w:r>
                  <w:proofErr w:type="spellEnd"/>
                </w:p>
              </w:txbxContent>
            </v:textbox>
          </v:shape>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8" type="#_x0000_t66" style="position:absolute;margin-left:282.7pt;margin-top:69.75pt;width:191.25pt;height:57pt;z-index:251670528" fillcolor="yellow"/>
        </w:pict>
      </w:r>
      <w:r>
        <w:rPr>
          <w:noProof/>
        </w:rPr>
        <w:pict>
          <v:shape id="_x0000_s1035" type="#_x0000_t202" style="position:absolute;margin-left:187.85pt;margin-top:80.25pt;width:67.15pt;height:36.75pt;z-index:251669504;mso-width-relative:margin;mso-height-relative:margin" filled="f" stroked="f" strokecolor="white [3212]">
            <v:textbox style="mso-next-textbox:#_x0000_s1035">
              <w:txbxContent>
                <w:p w:rsidR="00697C48" w:rsidRPr="00350632" w:rsidRDefault="00697C48" w:rsidP="00816970">
                  <w:pPr>
                    <w:jc w:val="center"/>
                    <w:rPr>
                      <w:b/>
                    </w:rPr>
                  </w:pPr>
                  <w:r w:rsidRPr="00350632">
                    <w:rPr>
                      <w:b/>
                    </w:rPr>
                    <w:t xml:space="preserve">COC </w:t>
                  </w:r>
                  <w:r w:rsidR="005E544B" w:rsidRPr="00350632">
                    <w:rPr>
                      <w:b/>
                    </w:rPr>
                    <w:t>Decision</w:t>
                  </w:r>
                  <w:r w:rsidR="00A4683E" w:rsidRPr="00350632">
                    <w:rPr>
                      <w:b/>
                    </w:rPr>
                    <w:t>s</w:t>
                  </w:r>
                </w:p>
              </w:txbxContent>
            </v:textbox>
          </v:shape>
        </w:pict>
      </w:r>
      <w:r>
        <w:rPr>
          <w:noProof/>
        </w:rPr>
        <w:pict>
          <v:oval id="_x0000_s1028" style="position:absolute;margin-left:180.7pt;margin-top:60.75pt;width:81.8pt;height:76.5pt;z-index:251665408" fillcolor="#92d050"/>
        </w:pict>
      </w:r>
      <w:r>
        <w:rPr>
          <w:noProof/>
        </w:rPr>
        <w:pict>
          <v:oval id="_x0000_s1029" style="position:absolute;margin-left:141pt;margin-top:20pt;width:162pt;height:156.25pt;z-index:251664384" fillcolor="#e36c0a [2409]"/>
        </w:pict>
      </w:r>
      <w:r>
        <w:rPr>
          <w:noProof/>
        </w:rPr>
        <w:pict>
          <v:shape id="_x0000_s1034" type="#_x0000_t202" style="position:absolute;margin-left:141.75pt;margin-top:27.5pt;width:164.95pt;height:37pt;z-index:251668480;mso-width-relative:margin;mso-height-relative:margin" filled="f" stroked="f" strokecolor="white [3212]">
            <v:textbox style="mso-next-textbox:#_x0000_s1034">
              <w:txbxContent>
                <w:p w:rsidR="007002B3" w:rsidRDefault="00697C48" w:rsidP="007002B3">
                  <w:pPr>
                    <w:spacing w:after="0" w:line="240" w:lineRule="auto"/>
                    <w:jc w:val="center"/>
                    <w:rPr>
                      <w:b/>
                    </w:rPr>
                  </w:pPr>
                  <w:r w:rsidRPr="00350632">
                    <w:rPr>
                      <w:b/>
                    </w:rPr>
                    <w:t xml:space="preserve">Housing and </w:t>
                  </w:r>
                  <w:r w:rsidR="007002B3">
                    <w:rPr>
                      <w:b/>
                    </w:rPr>
                    <w:t xml:space="preserve"> </w:t>
                  </w:r>
                </w:p>
                <w:p w:rsidR="00697C48" w:rsidRPr="007002B3" w:rsidRDefault="005E544B" w:rsidP="007002B3">
                  <w:pPr>
                    <w:spacing w:after="0" w:line="240" w:lineRule="auto"/>
                    <w:jc w:val="center"/>
                    <w:rPr>
                      <w:b/>
                    </w:rPr>
                  </w:pPr>
                  <w:r w:rsidRPr="00350632">
                    <w:rPr>
                      <w:b/>
                    </w:rPr>
                    <w:t>Home</w:t>
                  </w:r>
                  <w:r w:rsidR="007002B3">
                    <w:rPr>
                      <w:b/>
                    </w:rPr>
                    <w:t>lessness System</w:t>
                  </w:r>
                </w:p>
              </w:txbxContent>
            </v:textbox>
          </v:shape>
        </w:pict>
      </w:r>
      <w:r>
        <w:rPr>
          <w:noProof/>
        </w:rPr>
        <w:pict>
          <v:oval id="_x0000_s1030" style="position:absolute;margin-left:100.55pt;margin-top:-15pt;width:242.9pt;height:227.1pt;z-index:251663360" fillcolor="#8db3e2 [1311]">
            <v:fill r:id="rId6" o:title="Wide downward diagonal" type="pattern"/>
          </v:oval>
        </w:pict>
      </w:r>
    </w:p>
    <w:p w:rsidR="00CA68EA" w:rsidRPr="00CA68EA" w:rsidRDefault="00CA68EA" w:rsidP="00CA68EA"/>
    <w:p w:rsidR="00CA68EA" w:rsidRPr="00CA68EA" w:rsidRDefault="00CA68EA" w:rsidP="00CA68EA"/>
    <w:p w:rsidR="00CA68EA" w:rsidRPr="00CA68EA" w:rsidRDefault="00CA68EA" w:rsidP="00CA68EA"/>
    <w:p w:rsidR="00CA68EA" w:rsidRPr="00CA68EA" w:rsidRDefault="00CA68EA" w:rsidP="00CA68EA"/>
    <w:p w:rsidR="00CA68EA" w:rsidRPr="00CA68EA" w:rsidRDefault="00CA68EA" w:rsidP="00CA68EA"/>
    <w:p w:rsidR="00CA68EA" w:rsidRPr="00CA68EA" w:rsidRDefault="00CA68EA" w:rsidP="00CA68EA"/>
    <w:p w:rsidR="00CA68EA" w:rsidRPr="00CA68EA" w:rsidRDefault="00CA68EA" w:rsidP="00CA68EA"/>
    <w:p w:rsidR="00CA68EA" w:rsidRPr="00104AFF" w:rsidRDefault="008C1734" w:rsidP="00CA68EA">
      <w:pPr>
        <w:rPr>
          <w:b/>
        </w:rPr>
      </w:pPr>
      <w:r>
        <w:rPr>
          <w:b/>
        </w:rPr>
        <w:t>COC STEERING COMMITTEE:</w:t>
      </w:r>
    </w:p>
    <w:p w:rsidR="00A5269E" w:rsidRPr="00104AFF" w:rsidRDefault="00104AFF" w:rsidP="00CA68EA">
      <w:pPr>
        <w:rPr>
          <w:b/>
        </w:rPr>
      </w:pPr>
      <w:r w:rsidRPr="00104AFF">
        <w:rPr>
          <w:b/>
        </w:rPr>
        <w:t>COC HUD Funded Decisions and Oversight</w:t>
      </w:r>
    </w:p>
    <w:p w:rsidR="00104AFF" w:rsidRDefault="00104AFF" w:rsidP="00104AFF">
      <w:pPr>
        <w:spacing w:after="0"/>
      </w:pPr>
      <w:r>
        <w:t>The purpose of the Continuum of Care Steering Committee (</w:t>
      </w:r>
      <w:proofErr w:type="spellStart"/>
      <w:r>
        <w:t>CoC</w:t>
      </w:r>
      <w:proofErr w:type="spellEnd"/>
      <w:r>
        <w:t xml:space="preserve"> SC) is to submit an annual </w:t>
      </w:r>
    </w:p>
    <w:p w:rsidR="00104AFF" w:rsidRDefault="00104AFF" w:rsidP="00104AFF">
      <w:pPr>
        <w:spacing w:after="0"/>
      </w:pPr>
      <w:proofErr w:type="gramStart"/>
      <w:r>
        <w:t>application</w:t>
      </w:r>
      <w:proofErr w:type="gramEnd"/>
      <w:r>
        <w:t xml:space="preserve"> to the US Department of Housing and Urban Development (HUD) for local homeless </w:t>
      </w:r>
    </w:p>
    <w:p w:rsidR="00A5269E" w:rsidRDefault="00104AFF" w:rsidP="00104AFF">
      <w:pPr>
        <w:spacing w:after="0"/>
      </w:pPr>
      <w:proofErr w:type="gramStart"/>
      <w:r>
        <w:t>housing</w:t>
      </w:r>
      <w:proofErr w:type="gramEnd"/>
      <w:r>
        <w:t xml:space="preserve"> projects and to evaluate ongoing progress in meeting </w:t>
      </w:r>
      <w:proofErr w:type="spellStart"/>
      <w:r>
        <w:t>CoC</w:t>
      </w:r>
      <w:proofErr w:type="spellEnd"/>
      <w:r>
        <w:t xml:space="preserve"> goals. </w:t>
      </w:r>
      <w:r>
        <w:cr/>
      </w:r>
    </w:p>
    <w:p w:rsidR="00CA68EA" w:rsidRPr="00CA68EA" w:rsidRDefault="00321106" w:rsidP="00CA68EA">
      <w:pPr>
        <w:rPr>
          <w:b/>
        </w:rPr>
      </w:pPr>
      <w:r>
        <w:rPr>
          <w:b/>
        </w:rPr>
        <w:t>Collective Impact Focus</w:t>
      </w:r>
    </w:p>
    <w:p w:rsidR="00CA68EA" w:rsidRPr="00321106" w:rsidRDefault="000C1A7E" w:rsidP="00321106">
      <w:pPr>
        <w:spacing w:after="0"/>
      </w:pPr>
      <w:r w:rsidRPr="00321106">
        <w:t>Embedded in the collective impact framework is the notion of working collectively, often across multiple sectors, on a common issue</w:t>
      </w:r>
      <w:r w:rsidR="00321106">
        <w:t>.</w:t>
      </w:r>
      <w:r w:rsidR="00321106" w:rsidRPr="00321106">
        <w:t xml:space="preserve"> </w:t>
      </w:r>
    </w:p>
    <w:p w:rsidR="00000EAE" w:rsidRPr="00321106" w:rsidRDefault="00000EAE" w:rsidP="00321106">
      <w:pPr>
        <w:widowControl w:val="0"/>
        <w:autoSpaceDE w:val="0"/>
        <w:autoSpaceDN w:val="0"/>
        <w:adjustRightInd w:val="0"/>
        <w:spacing w:after="0"/>
        <w:rPr>
          <w:rFonts w:cs="Arial"/>
          <w:bCs/>
        </w:rPr>
      </w:pPr>
      <w:r w:rsidRPr="00321106">
        <w:rPr>
          <w:rFonts w:cs="Arial"/>
          <w:bCs/>
        </w:rPr>
        <w:t xml:space="preserve">• A framing tool for collaborative efforts </w:t>
      </w:r>
    </w:p>
    <w:p w:rsidR="00000EAE" w:rsidRPr="00321106" w:rsidRDefault="00000EAE" w:rsidP="00321106">
      <w:pPr>
        <w:widowControl w:val="0"/>
        <w:autoSpaceDE w:val="0"/>
        <w:autoSpaceDN w:val="0"/>
        <w:adjustRightInd w:val="0"/>
        <w:spacing w:after="0"/>
        <w:rPr>
          <w:rFonts w:cs="Arial"/>
          <w:bCs/>
        </w:rPr>
      </w:pPr>
      <w:r w:rsidRPr="00321106">
        <w:rPr>
          <w:rFonts w:cs="Arial"/>
          <w:bCs/>
        </w:rPr>
        <w:t xml:space="preserve">• An opportunity to get partners on the same page </w:t>
      </w:r>
    </w:p>
    <w:p w:rsidR="00000EAE" w:rsidRPr="00321106" w:rsidRDefault="00C0796A" w:rsidP="00321106">
      <w:pPr>
        <w:widowControl w:val="0"/>
        <w:autoSpaceDE w:val="0"/>
        <w:autoSpaceDN w:val="0"/>
        <w:adjustRightInd w:val="0"/>
        <w:spacing w:after="0"/>
        <w:rPr>
          <w:rFonts w:cs="Arial"/>
          <w:bCs/>
        </w:rPr>
      </w:pPr>
      <w:r>
        <w:rPr>
          <w:rFonts w:cs="Arial"/>
          <w:bCs/>
        </w:rPr>
        <w:t>• Shared a</w:t>
      </w:r>
      <w:r w:rsidR="00000EAE" w:rsidRPr="00321106">
        <w:rPr>
          <w:rFonts w:cs="Arial"/>
          <w:bCs/>
        </w:rPr>
        <w:t xml:space="preserve">greement on the process and outcome measures that lead to change </w:t>
      </w:r>
    </w:p>
    <w:p w:rsidR="00000EAE" w:rsidRPr="00321106" w:rsidRDefault="00000EAE" w:rsidP="00321106">
      <w:pPr>
        <w:widowControl w:val="0"/>
        <w:autoSpaceDE w:val="0"/>
        <w:autoSpaceDN w:val="0"/>
        <w:adjustRightInd w:val="0"/>
        <w:spacing w:after="0"/>
        <w:rPr>
          <w:rFonts w:cs="Arial"/>
          <w:bCs/>
        </w:rPr>
      </w:pPr>
      <w:r w:rsidRPr="00321106">
        <w:rPr>
          <w:rFonts w:cs="Arial"/>
          <w:bCs/>
        </w:rPr>
        <w:t xml:space="preserve">• Agreement on the activities that move the needle on outcomes </w:t>
      </w:r>
    </w:p>
    <w:p w:rsidR="00000EAE" w:rsidRDefault="00000EAE" w:rsidP="00321106">
      <w:pPr>
        <w:widowControl w:val="0"/>
        <w:autoSpaceDE w:val="0"/>
        <w:autoSpaceDN w:val="0"/>
        <w:adjustRightInd w:val="0"/>
        <w:spacing w:after="0"/>
        <w:rPr>
          <w:rFonts w:cs="Arial"/>
          <w:bCs/>
        </w:rPr>
      </w:pPr>
      <w:r w:rsidRPr="00321106">
        <w:rPr>
          <w:rFonts w:cs="Arial"/>
          <w:bCs/>
        </w:rPr>
        <w:t>• Recognition of the value of resources to drive forward change</w:t>
      </w:r>
    </w:p>
    <w:p w:rsidR="001430E9" w:rsidRPr="00321106" w:rsidRDefault="001430E9" w:rsidP="00321106">
      <w:pPr>
        <w:widowControl w:val="0"/>
        <w:autoSpaceDE w:val="0"/>
        <w:autoSpaceDN w:val="0"/>
        <w:adjustRightInd w:val="0"/>
        <w:spacing w:after="0"/>
        <w:rPr>
          <w:rFonts w:cs="Arial"/>
          <w:bCs/>
        </w:rPr>
      </w:pPr>
    </w:p>
    <w:p w:rsidR="00000EAE" w:rsidRDefault="00000EAE" w:rsidP="008C1734">
      <w:pPr>
        <w:jc w:val="center"/>
      </w:pPr>
      <w:r w:rsidRPr="00000EAE">
        <w:rPr>
          <w:noProof/>
        </w:rPr>
        <w:drawing>
          <wp:inline distT="0" distB="0" distL="0" distR="0">
            <wp:extent cx="4126230" cy="2877377"/>
            <wp:effectExtent l="19050" t="0" r="7620" b="0"/>
            <wp:docPr id="50" name="Picture 11" descr="Screen Shot 2013-12-26 at 10.43.4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26 at 10.43.46 AM.png"/>
                    <pic:cNvPicPr/>
                  </pic:nvPicPr>
                  <pic:blipFill>
                    <a:blip r:embed="rId7" cstate="print"/>
                    <a:stretch>
                      <a:fillRect/>
                    </a:stretch>
                  </pic:blipFill>
                  <pic:spPr>
                    <a:xfrm>
                      <a:off x="0" y="0"/>
                      <a:ext cx="4132142" cy="2881500"/>
                    </a:xfrm>
                    <a:prstGeom prst="rect">
                      <a:avLst/>
                    </a:prstGeom>
                  </pic:spPr>
                </pic:pic>
              </a:graphicData>
            </a:graphic>
          </wp:inline>
        </w:drawing>
      </w:r>
    </w:p>
    <w:p w:rsidR="00A25E8E" w:rsidRDefault="00A2511F" w:rsidP="00A25E8E">
      <w:pPr>
        <w:rPr>
          <w:b/>
        </w:rPr>
      </w:pPr>
      <w:r>
        <w:rPr>
          <w:b/>
        </w:rPr>
        <w:lastRenderedPageBreak/>
        <w:t>COLLABORATIVE ACTION</w:t>
      </w:r>
    </w:p>
    <w:p w:rsidR="00A25E8E" w:rsidRDefault="00AE098A" w:rsidP="00A25E8E">
      <w:r>
        <w:t>Based upon data, community engagement and program outcomes the COC Stee</w:t>
      </w:r>
      <w:r w:rsidR="00A020A1">
        <w:t>ring Committee will initiate collaborative action to solve problems and reduce barriers around housing and homelessness.</w:t>
      </w:r>
    </w:p>
    <w:p w:rsidR="00A2511F" w:rsidRDefault="0032739A" w:rsidP="00493D49">
      <w:pPr>
        <w:rPr>
          <w:b/>
        </w:rPr>
      </w:pPr>
      <w:r>
        <w:rPr>
          <w:b/>
        </w:rPr>
        <w:t>Agreed on area</w:t>
      </w:r>
      <w:r w:rsidR="00C0796A">
        <w:rPr>
          <w:b/>
        </w:rPr>
        <w:t>s</w:t>
      </w:r>
      <w:r>
        <w:rPr>
          <w:b/>
        </w:rPr>
        <w:t xml:space="preserve"> of collective focus</w:t>
      </w:r>
      <w:r w:rsidR="00493D49" w:rsidRPr="00A2511F">
        <w:rPr>
          <w:b/>
        </w:rPr>
        <w:t xml:space="preserve">:  </w:t>
      </w:r>
    </w:p>
    <w:p w:rsidR="00493D49" w:rsidRPr="00C0796A" w:rsidRDefault="00A2511F" w:rsidP="00C0796A">
      <w:pPr>
        <w:pStyle w:val="ListParagraph"/>
        <w:numPr>
          <w:ilvl w:val="0"/>
          <w:numId w:val="1"/>
        </w:numPr>
        <w:rPr>
          <w:b/>
          <w:i/>
        </w:rPr>
      </w:pPr>
      <w:r w:rsidRPr="00C0796A">
        <w:rPr>
          <w:b/>
          <w:i/>
        </w:rPr>
        <w:t>Client Rental Accessibility</w:t>
      </w:r>
    </w:p>
    <w:p w:rsidR="00493D49" w:rsidRPr="002B33C1" w:rsidRDefault="00A2511F" w:rsidP="00493D49">
      <w:r>
        <w:t>There</w:t>
      </w:r>
      <w:r w:rsidR="00493D49" w:rsidRPr="002B33C1">
        <w:t xml:space="preserve"> is a consistent pattern of clients who are not securing places to rent even though they have been approved for one of our rapid re-housing programs.   We have also observed that many of the clients we are placing into these programs have barriers to obtaining to rental.  These barriers include past evictions, monies owed to previous landlords, criminal histories and a lack of income.  </w:t>
      </w:r>
    </w:p>
    <w:p w:rsidR="00DA5FC5" w:rsidRPr="00271B98" w:rsidRDefault="00A2511F" w:rsidP="00A25E8E">
      <w:pPr>
        <w:rPr>
          <w:b/>
        </w:rPr>
      </w:pPr>
      <w:r w:rsidRPr="00271B98">
        <w:rPr>
          <w:b/>
        </w:rPr>
        <w:t xml:space="preserve">Goal: Develop a strategy to increase the amount of </w:t>
      </w:r>
      <w:r w:rsidR="00271B98" w:rsidRPr="00271B98">
        <w:rPr>
          <w:b/>
        </w:rPr>
        <w:t>landlords willing to rent to our Rapid Re-housing clients.</w:t>
      </w:r>
    </w:p>
    <w:p w:rsidR="00A25E8E" w:rsidRPr="00CA68EA" w:rsidRDefault="00A25E8E" w:rsidP="008C1734">
      <w:pPr>
        <w:jc w:val="center"/>
      </w:pPr>
    </w:p>
    <w:sectPr w:rsidR="00A25E8E" w:rsidRPr="00CA68EA" w:rsidSect="001430E9">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91509"/>
    <w:multiLevelType w:val="hybridMultilevel"/>
    <w:tmpl w:val="3F30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9A06FB"/>
    <w:rsid w:val="00000EAE"/>
    <w:rsid w:val="00070DBB"/>
    <w:rsid w:val="000C1A7E"/>
    <w:rsid w:val="00104AFF"/>
    <w:rsid w:val="001430E9"/>
    <w:rsid w:val="001C0DF9"/>
    <w:rsid w:val="00271B98"/>
    <w:rsid w:val="00321106"/>
    <w:rsid w:val="0032739A"/>
    <w:rsid w:val="00350632"/>
    <w:rsid w:val="00493D49"/>
    <w:rsid w:val="005502EC"/>
    <w:rsid w:val="00575FC0"/>
    <w:rsid w:val="005E544B"/>
    <w:rsid w:val="0065728F"/>
    <w:rsid w:val="00697C48"/>
    <w:rsid w:val="007002B3"/>
    <w:rsid w:val="00816970"/>
    <w:rsid w:val="00881082"/>
    <w:rsid w:val="008C1734"/>
    <w:rsid w:val="009A06FB"/>
    <w:rsid w:val="00A020A1"/>
    <w:rsid w:val="00A2511F"/>
    <w:rsid w:val="00A25E8E"/>
    <w:rsid w:val="00A30DA7"/>
    <w:rsid w:val="00A4683E"/>
    <w:rsid w:val="00A5269E"/>
    <w:rsid w:val="00AD79C2"/>
    <w:rsid w:val="00AE098A"/>
    <w:rsid w:val="00B149B6"/>
    <w:rsid w:val="00C0796A"/>
    <w:rsid w:val="00CA68EA"/>
    <w:rsid w:val="00DA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0C80EB9A-2A30-40DA-8CC2-D45AD913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DA7"/>
    <w:rPr>
      <w:rFonts w:ascii="Tahoma" w:hAnsi="Tahoma" w:cs="Tahoma"/>
      <w:sz w:val="16"/>
      <w:szCs w:val="16"/>
    </w:rPr>
  </w:style>
  <w:style w:type="character" w:styleId="Hyperlink">
    <w:name w:val="Hyperlink"/>
    <w:basedOn w:val="DefaultParagraphFont"/>
    <w:uiPriority w:val="99"/>
    <w:unhideWhenUsed/>
    <w:rsid w:val="00000EAE"/>
    <w:rPr>
      <w:color w:val="0000FF" w:themeColor="hyperlink"/>
      <w:u w:val="single"/>
    </w:rPr>
  </w:style>
  <w:style w:type="paragraph" w:styleId="ListParagraph">
    <w:name w:val="List Paragraph"/>
    <w:basedOn w:val="Normal"/>
    <w:uiPriority w:val="34"/>
    <w:qFormat/>
    <w:rsid w:val="00C07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Vancouver Housing Authority</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share</cp:lastModifiedBy>
  <cp:revision>2</cp:revision>
  <cp:lastPrinted>2014-05-13T18:20:00Z</cp:lastPrinted>
  <dcterms:created xsi:type="dcterms:W3CDTF">2014-05-14T15:23:00Z</dcterms:created>
  <dcterms:modified xsi:type="dcterms:W3CDTF">2014-05-14T15:23:00Z</dcterms:modified>
</cp:coreProperties>
</file>